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16D" w:rsidRDefault="00BD316D" w:rsidP="00D063E5">
      <w:pPr>
        <w:jc w:val="center"/>
        <w:rPr>
          <w:rFonts w:ascii="Times New Roman" w:hAnsi="Times New Roman" w:cs="Times New Roman"/>
          <w:sz w:val="24"/>
        </w:rPr>
      </w:pPr>
    </w:p>
    <w:p w:rsidR="00BD316D" w:rsidRDefault="00BD316D" w:rsidP="00D063E5">
      <w:pPr>
        <w:jc w:val="center"/>
        <w:rPr>
          <w:rFonts w:ascii="Times New Roman" w:hAnsi="Times New Roman" w:cs="Times New Roman"/>
          <w:sz w:val="24"/>
        </w:rPr>
      </w:pPr>
    </w:p>
    <w:p w:rsidR="00BD316D" w:rsidRDefault="00BD316D" w:rsidP="00D063E5">
      <w:pPr>
        <w:jc w:val="center"/>
        <w:rPr>
          <w:rFonts w:ascii="Times New Roman" w:hAnsi="Times New Roman" w:cs="Times New Roman"/>
          <w:sz w:val="24"/>
        </w:rPr>
      </w:pPr>
    </w:p>
    <w:p w:rsidR="00BD316D" w:rsidRDefault="00BD316D" w:rsidP="00D063E5">
      <w:pPr>
        <w:jc w:val="center"/>
        <w:rPr>
          <w:rFonts w:ascii="Times New Roman" w:hAnsi="Times New Roman" w:cs="Times New Roman"/>
          <w:sz w:val="24"/>
        </w:rPr>
      </w:pPr>
    </w:p>
    <w:p w:rsidR="00EE7020" w:rsidRPr="00BD316D" w:rsidRDefault="00D063E5" w:rsidP="00D063E5">
      <w:pPr>
        <w:jc w:val="center"/>
        <w:rPr>
          <w:rFonts w:ascii="Times New Roman" w:hAnsi="Times New Roman" w:cs="Times New Roman"/>
          <w:b/>
          <w:sz w:val="24"/>
        </w:rPr>
      </w:pPr>
      <w:r w:rsidRPr="00BD316D">
        <w:rPr>
          <w:rFonts w:ascii="Times New Roman" w:hAnsi="Times New Roman" w:cs="Times New Roman"/>
          <w:b/>
          <w:sz w:val="24"/>
        </w:rPr>
        <w:t>Data Exercise 3</w:t>
      </w:r>
    </w:p>
    <w:p w:rsidR="00BD316D" w:rsidRDefault="00BD316D" w:rsidP="00D063E5">
      <w:pPr>
        <w:jc w:val="center"/>
        <w:rPr>
          <w:rFonts w:ascii="Times New Roman" w:hAnsi="Times New Roman" w:cs="Times New Roman"/>
          <w:sz w:val="24"/>
        </w:rPr>
      </w:pPr>
    </w:p>
    <w:p w:rsidR="00D063E5" w:rsidRPr="00BD316D" w:rsidRDefault="00D063E5" w:rsidP="00D063E5">
      <w:pPr>
        <w:jc w:val="center"/>
        <w:rPr>
          <w:rFonts w:ascii="Times New Roman" w:hAnsi="Times New Roman" w:cs="Times New Roman"/>
          <w:sz w:val="24"/>
        </w:rPr>
      </w:pPr>
      <w:r w:rsidRPr="00BD316D">
        <w:rPr>
          <w:rFonts w:ascii="Times New Roman" w:hAnsi="Times New Roman" w:cs="Times New Roman"/>
          <w:sz w:val="24"/>
        </w:rPr>
        <w:t>Name</w:t>
      </w:r>
    </w:p>
    <w:p w:rsidR="00D063E5" w:rsidRPr="00BD316D" w:rsidRDefault="00D063E5" w:rsidP="00D063E5">
      <w:pPr>
        <w:jc w:val="center"/>
        <w:rPr>
          <w:rFonts w:ascii="Times New Roman" w:hAnsi="Times New Roman" w:cs="Times New Roman"/>
          <w:sz w:val="24"/>
        </w:rPr>
      </w:pPr>
      <w:r w:rsidRPr="00BD316D">
        <w:rPr>
          <w:rFonts w:ascii="Times New Roman" w:hAnsi="Times New Roman" w:cs="Times New Roman"/>
          <w:sz w:val="24"/>
        </w:rPr>
        <w:t>Institution</w:t>
      </w:r>
    </w:p>
    <w:p w:rsidR="00BD316D" w:rsidRPr="00BD316D" w:rsidRDefault="00BD316D">
      <w:pPr>
        <w:rPr>
          <w:rFonts w:ascii="Times New Roman" w:hAnsi="Times New Roman" w:cs="Times New Roman"/>
          <w:sz w:val="24"/>
        </w:rPr>
      </w:pPr>
      <w:r w:rsidRPr="00BD316D">
        <w:rPr>
          <w:rFonts w:ascii="Times New Roman" w:hAnsi="Times New Roman" w:cs="Times New Roman"/>
          <w:sz w:val="24"/>
        </w:rPr>
        <w:br w:type="page"/>
      </w:r>
    </w:p>
    <w:p w:rsidR="00A77814" w:rsidRDefault="00A77814" w:rsidP="00A77814">
      <w:pPr>
        <w:jc w:val="center"/>
        <w:rPr>
          <w:rFonts w:ascii="Times New Roman" w:hAnsi="Times New Roman" w:cs="Times New Roman"/>
          <w:sz w:val="24"/>
        </w:rPr>
      </w:pPr>
      <w:r>
        <w:rPr>
          <w:rFonts w:ascii="Times New Roman" w:hAnsi="Times New Roman" w:cs="Times New Roman"/>
          <w:sz w:val="24"/>
        </w:rPr>
        <w:lastRenderedPageBreak/>
        <w:t>Part 1</w:t>
      </w:r>
    </w:p>
    <w:tbl>
      <w:tblPr>
        <w:tblW w:w="8420" w:type="dxa"/>
        <w:tblLook w:val="04A0" w:firstRow="1" w:lastRow="0" w:firstColumn="1" w:lastColumn="0" w:noHBand="0" w:noVBand="1"/>
      </w:tblPr>
      <w:tblGrid>
        <w:gridCol w:w="2460"/>
        <w:gridCol w:w="1340"/>
        <w:gridCol w:w="1801"/>
        <w:gridCol w:w="1660"/>
        <w:gridCol w:w="1225"/>
      </w:tblGrid>
      <w:tr w:rsidR="00A77814" w:rsidRPr="00A77814" w:rsidTr="00A77814">
        <w:trPr>
          <w:trHeight w:val="960"/>
        </w:trPr>
        <w:tc>
          <w:tcPr>
            <w:tcW w:w="2460" w:type="dxa"/>
            <w:tcBorders>
              <w:top w:val="single" w:sz="8" w:space="0" w:color="auto"/>
              <w:left w:val="single" w:sz="8" w:space="0" w:color="auto"/>
              <w:bottom w:val="single" w:sz="8" w:space="0" w:color="auto"/>
              <w:right w:val="nil"/>
            </w:tcBorders>
            <w:shd w:val="clear" w:color="auto" w:fill="auto"/>
            <w:noWrap/>
            <w:vAlign w:val="bottom"/>
            <w:hideMark/>
          </w:tcPr>
          <w:p w:rsidR="00A77814" w:rsidRPr="00A77814" w:rsidRDefault="00A77814" w:rsidP="00A77814">
            <w:pPr>
              <w:spacing w:after="0" w:line="240" w:lineRule="auto"/>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 </w:t>
            </w:r>
          </w:p>
        </w:tc>
        <w:tc>
          <w:tcPr>
            <w:tcW w:w="1340" w:type="dxa"/>
            <w:tcBorders>
              <w:top w:val="single" w:sz="8" w:space="0" w:color="auto"/>
              <w:left w:val="single" w:sz="8" w:space="0" w:color="auto"/>
              <w:bottom w:val="single" w:sz="8" w:space="0" w:color="auto"/>
              <w:right w:val="single" w:sz="4" w:space="0" w:color="auto"/>
            </w:tcBorders>
            <w:shd w:val="clear" w:color="000000" w:fill="8EA9DB"/>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Most Recent Year</w:t>
            </w:r>
          </w:p>
        </w:tc>
        <w:tc>
          <w:tcPr>
            <w:tcW w:w="1800" w:type="dxa"/>
            <w:tcBorders>
              <w:top w:val="single" w:sz="8" w:space="0" w:color="auto"/>
              <w:left w:val="nil"/>
              <w:bottom w:val="single" w:sz="8" w:space="0" w:color="auto"/>
              <w:right w:val="single" w:sz="4" w:space="0" w:color="auto"/>
            </w:tcBorders>
            <w:shd w:val="clear" w:color="000000" w:fill="8EA9DB"/>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GDP</w:t>
            </w:r>
          </w:p>
        </w:tc>
        <w:tc>
          <w:tcPr>
            <w:tcW w:w="1660" w:type="dxa"/>
            <w:tcBorders>
              <w:top w:val="single" w:sz="8" w:space="0" w:color="auto"/>
              <w:left w:val="nil"/>
              <w:bottom w:val="single" w:sz="8" w:space="0" w:color="auto"/>
              <w:right w:val="single" w:sz="4" w:space="0" w:color="auto"/>
            </w:tcBorders>
            <w:shd w:val="clear" w:color="000000" w:fill="8EA9DB"/>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Population</w:t>
            </w:r>
          </w:p>
        </w:tc>
        <w:tc>
          <w:tcPr>
            <w:tcW w:w="1160" w:type="dxa"/>
            <w:tcBorders>
              <w:top w:val="single" w:sz="8" w:space="0" w:color="auto"/>
              <w:left w:val="nil"/>
              <w:bottom w:val="single" w:sz="8" w:space="0" w:color="auto"/>
              <w:right w:val="single" w:sz="8" w:space="0" w:color="auto"/>
            </w:tcBorders>
            <w:shd w:val="clear" w:color="000000" w:fill="8EA9DB"/>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Per Capita GDP</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United States</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2.13744E+13</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328239523</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65118.4</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South Africa</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3.51432E+11</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58558270</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6001.4</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Vietnam</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2.61921E+11</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96462106</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2715.28</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Ukraine</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1.53781E+11</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44385155</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3464.7</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Uzbekistan</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57921286440</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33580650</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1724.84</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Uruguay</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56045912952</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3461734</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16190.1</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Tunisia</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38797709924</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11694719</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3317.54</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Uganda</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34387229486</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44269594</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776.769</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Zambia</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23064722446</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17861030</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1291.34</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Zimbabwe</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21440758800</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14645468</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1463.99</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Kosovo</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7926108374</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1794248</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4417.51</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Togo</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5459979417</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104494</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52251.6</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Vanuatu</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917058850.8</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299882</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3058.07</w:t>
            </w:r>
          </w:p>
        </w:tc>
      </w:tr>
      <w:tr w:rsidR="00A77814" w:rsidRPr="00A77814" w:rsidTr="00A77814">
        <w:trPr>
          <w:trHeight w:val="315"/>
        </w:trPr>
        <w:tc>
          <w:tcPr>
            <w:tcW w:w="2460" w:type="dxa"/>
            <w:tcBorders>
              <w:top w:val="nil"/>
              <w:left w:val="single" w:sz="8" w:space="0" w:color="auto"/>
              <w:bottom w:val="single" w:sz="4" w:space="0" w:color="auto"/>
              <w:right w:val="single" w:sz="4" w:space="0" w:color="auto"/>
            </w:tcBorders>
            <w:shd w:val="clear" w:color="000000" w:fill="F4B084"/>
            <w:noWrap/>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Samoa</w:t>
            </w:r>
          </w:p>
        </w:tc>
        <w:tc>
          <w:tcPr>
            <w:tcW w:w="134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850655017.2</w:t>
            </w:r>
          </w:p>
        </w:tc>
        <w:tc>
          <w:tcPr>
            <w:tcW w:w="1660" w:type="dxa"/>
            <w:tcBorders>
              <w:top w:val="nil"/>
              <w:left w:val="nil"/>
              <w:bottom w:val="single" w:sz="4"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197097</w:t>
            </w:r>
          </w:p>
        </w:tc>
        <w:tc>
          <w:tcPr>
            <w:tcW w:w="1160" w:type="dxa"/>
            <w:tcBorders>
              <w:top w:val="nil"/>
              <w:left w:val="nil"/>
              <w:bottom w:val="single" w:sz="4"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4315.92</w:t>
            </w:r>
          </w:p>
        </w:tc>
      </w:tr>
      <w:tr w:rsidR="00A77814" w:rsidRPr="00A77814" w:rsidTr="00A77814">
        <w:trPr>
          <w:trHeight w:val="645"/>
        </w:trPr>
        <w:tc>
          <w:tcPr>
            <w:tcW w:w="2460" w:type="dxa"/>
            <w:tcBorders>
              <w:top w:val="nil"/>
              <w:left w:val="single" w:sz="8" w:space="0" w:color="auto"/>
              <w:bottom w:val="single" w:sz="8" w:space="0" w:color="auto"/>
              <w:right w:val="single" w:sz="4" w:space="0" w:color="auto"/>
            </w:tcBorders>
            <w:shd w:val="clear" w:color="000000" w:fill="F4B084"/>
            <w:vAlign w:val="bottom"/>
            <w:hideMark/>
          </w:tcPr>
          <w:p w:rsidR="00A77814" w:rsidRPr="00A77814" w:rsidRDefault="00A77814" w:rsidP="00A77814">
            <w:pPr>
              <w:spacing w:after="0" w:line="240" w:lineRule="auto"/>
              <w:rPr>
                <w:rFonts w:ascii="Courier New" w:eastAsia="Times New Roman" w:hAnsi="Courier New" w:cs="Courier New"/>
                <w:color w:val="FFFFFF"/>
                <w:sz w:val="24"/>
                <w:szCs w:val="24"/>
              </w:rPr>
            </w:pPr>
            <w:r w:rsidRPr="00A77814">
              <w:rPr>
                <w:rFonts w:ascii="Courier New" w:eastAsia="Times New Roman" w:hAnsi="Courier New" w:cs="Courier New"/>
                <w:color w:val="FFFFFF"/>
                <w:sz w:val="24"/>
                <w:szCs w:val="24"/>
              </w:rPr>
              <w:t>St. Vincent and the Grenadines</w:t>
            </w:r>
          </w:p>
        </w:tc>
        <w:tc>
          <w:tcPr>
            <w:tcW w:w="1340" w:type="dxa"/>
            <w:tcBorders>
              <w:top w:val="nil"/>
              <w:left w:val="nil"/>
              <w:bottom w:val="single" w:sz="8"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2019</w:t>
            </w:r>
          </w:p>
        </w:tc>
        <w:tc>
          <w:tcPr>
            <w:tcW w:w="1800" w:type="dxa"/>
            <w:tcBorders>
              <w:top w:val="nil"/>
              <w:left w:val="nil"/>
              <w:bottom w:val="single" w:sz="8"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825385185.2</w:t>
            </w:r>
          </w:p>
        </w:tc>
        <w:tc>
          <w:tcPr>
            <w:tcW w:w="1660" w:type="dxa"/>
            <w:tcBorders>
              <w:top w:val="nil"/>
              <w:left w:val="nil"/>
              <w:bottom w:val="single" w:sz="8" w:space="0" w:color="auto"/>
              <w:right w:val="single" w:sz="4"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110589</w:t>
            </w:r>
          </w:p>
        </w:tc>
        <w:tc>
          <w:tcPr>
            <w:tcW w:w="1160" w:type="dxa"/>
            <w:tcBorders>
              <w:top w:val="nil"/>
              <w:left w:val="nil"/>
              <w:bottom w:val="single" w:sz="8" w:space="0" w:color="auto"/>
              <w:right w:val="single" w:sz="8" w:space="0" w:color="auto"/>
            </w:tcBorders>
            <w:shd w:val="clear" w:color="auto" w:fill="auto"/>
            <w:noWrap/>
            <w:vAlign w:val="bottom"/>
            <w:hideMark/>
          </w:tcPr>
          <w:p w:rsidR="00A77814" w:rsidRPr="00A77814" w:rsidRDefault="00A77814" w:rsidP="00A77814">
            <w:pPr>
              <w:spacing w:after="0" w:line="240" w:lineRule="auto"/>
              <w:jc w:val="right"/>
              <w:rPr>
                <w:rFonts w:ascii="Courier New" w:eastAsia="Times New Roman" w:hAnsi="Courier New" w:cs="Courier New"/>
                <w:color w:val="000000"/>
                <w:sz w:val="24"/>
                <w:szCs w:val="24"/>
              </w:rPr>
            </w:pPr>
            <w:r w:rsidRPr="00A77814">
              <w:rPr>
                <w:rFonts w:ascii="Courier New" w:eastAsia="Times New Roman" w:hAnsi="Courier New" w:cs="Courier New"/>
                <w:color w:val="000000"/>
                <w:sz w:val="24"/>
                <w:szCs w:val="24"/>
              </w:rPr>
              <w:t>7463.54</w:t>
            </w:r>
          </w:p>
        </w:tc>
      </w:tr>
    </w:tbl>
    <w:p w:rsidR="00A77814" w:rsidRDefault="00A77814" w:rsidP="00A77814">
      <w:pPr>
        <w:rPr>
          <w:rFonts w:ascii="Times New Roman" w:hAnsi="Times New Roman" w:cs="Times New Roman"/>
          <w:sz w:val="24"/>
        </w:rPr>
      </w:pPr>
      <w:r>
        <w:rPr>
          <w:rFonts w:ascii="Times New Roman" w:hAnsi="Times New Roman" w:cs="Times New Roman"/>
          <w:sz w:val="24"/>
        </w:rPr>
        <w:t xml:space="preserve">Figure 1: </w:t>
      </w:r>
      <w:r w:rsidRPr="00A77814">
        <w:rPr>
          <w:rFonts w:ascii="Times New Roman" w:hAnsi="Times New Roman" w:cs="Times New Roman"/>
          <w:i/>
          <w:sz w:val="24"/>
        </w:rPr>
        <w:t>GDP and Population</w:t>
      </w:r>
      <w:r>
        <w:rPr>
          <w:rFonts w:ascii="Times New Roman" w:hAnsi="Times New Roman" w:cs="Times New Roman"/>
          <w:sz w:val="24"/>
        </w:rPr>
        <w:t xml:space="preserve"> </w:t>
      </w:r>
    </w:p>
    <w:p w:rsidR="006C782E" w:rsidRDefault="006C782E" w:rsidP="00A77814">
      <w:pPr>
        <w:rPr>
          <w:rFonts w:ascii="Times New Roman" w:hAnsi="Times New Roman" w:cs="Times New Roman"/>
          <w:sz w:val="24"/>
        </w:rPr>
      </w:pPr>
      <w:r>
        <w:rPr>
          <w:noProof/>
        </w:rPr>
        <w:drawing>
          <wp:inline distT="0" distB="0" distL="0" distR="0" wp14:anchorId="241B1F80" wp14:editId="31A61922">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B593F" w:rsidRDefault="009B593F" w:rsidP="00A77814">
      <w:pPr>
        <w:rPr>
          <w:rFonts w:ascii="Times New Roman" w:hAnsi="Times New Roman" w:cs="Times New Roman"/>
          <w:sz w:val="24"/>
        </w:rPr>
      </w:pPr>
      <w:r>
        <w:rPr>
          <w:rFonts w:ascii="Times New Roman" w:hAnsi="Times New Roman" w:cs="Times New Roman"/>
          <w:sz w:val="24"/>
        </w:rPr>
        <w:t xml:space="preserve">Figure 2: </w:t>
      </w:r>
      <w:r w:rsidRPr="009B593F">
        <w:rPr>
          <w:rFonts w:ascii="Times New Roman" w:hAnsi="Times New Roman" w:cs="Times New Roman"/>
          <w:i/>
          <w:sz w:val="24"/>
        </w:rPr>
        <w:t>Scatter chart GDP vs Population</w:t>
      </w:r>
      <w:r>
        <w:rPr>
          <w:rFonts w:ascii="Times New Roman" w:hAnsi="Times New Roman" w:cs="Times New Roman"/>
          <w:sz w:val="24"/>
        </w:rPr>
        <w:t xml:space="preserve"> </w:t>
      </w:r>
    </w:p>
    <w:p w:rsidR="00F01376" w:rsidRDefault="00AE3746" w:rsidP="00177D11">
      <w:pPr>
        <w:spacing w:line="480" w:lineRule="auto"/>
        <w:ind w:firstLine="720"/>
        <w:rPr>
          <w:rFonts w:ascii="Times New Roman" w:hAnsi="Times New Roman" w:cs="Times New Roman"/>
          <w:sz w:val="24"/>
        </w:rPr>
      </w:pPr>
      <w:r>
        <w:rPr>
          <w:rFonts w:ascii="Times New Roman" w:hAnsi="Times New Roman" w:cs="Times New Roman"/>
          <w:sz w:val="24"/>
        </w:rPr>
        <w:t>The figure 1 above represents the GPDs and populations of 15 nations which the report identified for review.</w:t>
      </w:r>
      <w:r w:rsidR="00816B85">
        <w:rPr>
          <w:rFonts w:ascii="Times New Roman" w:hAnsi="Times New Roman" w:cs="Times New Roman"/>
          <w:sz w:val="24"/>
        </w:rPr>
        <w:t xml:space="preserve"> The </w:t>
      </w:r>
      <w:r w:rsidR="00493C91">
        <w:rPr>
          <w:rFonts w:ascii="Times New Roman" w:hAnsi="Times New Roman" w:cs="Times New Roman"/>
          <w:sz w:val="24"/>
        </w:rPr>
        <w:t xml:space="preserve">scatter plot in figure 2 indicated that there was a similarity between the </w:t>
      </w:r>
      <w:r w:rsidR="00493C91">
        <w:rPr>
          <w:rFonts w:ascii="Times New Roman" w:hAnsi="Times New Roman" w:cs="Times New Roman"/>
          <w:sz w:val="24"/>
        </w:rPr>
        <w:lastRenderedPageBreak/>
        <w:t>population and GDP in the 15 nations under study.</w:t>
      </w:r>
      <w:r w:rsidR="006B2C06">
        <w:rPr>
          <w:rFonts w:ascii="Times New Roman" w:hAnsi="Times New Roman" w:cs="Times New Roman"/>
          <w:sz w:val="24"/>
        </w:rPr>
        <w:t xml:space="preserve"> The report </w:t>
      </w:r>
      <w:r w:rsidR="007B3A71">
        <w:rPr>
          <w:rFonts w:ascii="Times New Roman" w:hAnsi="Times New Roman" w:cs="Times New Roman"/>
          <w:sz w:val="24"/>
        </w:rPr>
        <w:t xml:space="preserve">enlisted the nations with the records sorted in terms of the GDP size. </w:t>
      </w:r>
      <w:r w:rsidR="002F643C">
        <w:rPr>
          <w:rFonts w:ascii="Times New Roman" w:hAnsi="Times New Roman" w:cs="Times New Roman"/>
          <w:sz w:val="24"/>
        </w:rPr>
        <w:t xml:space="preserve">According to </w:t>
      </w:r>
      <w:r w:rsidR="00433160">
        <w:rPr>
          <w:rFonts w:ascii="Times New Roman" w:hAnsi="Times New Roman" w:cs="Times New Roman" w:hint="eastAsia"/>
          <w:sz w:val="24"/>
        </w:rPr>
        <w:t xml:space="preserve">Avakov, </w:t>
      </w:r>
      <w:r w:rsidR="002F643C" w:rsidRPr="002F643C">
        <w:rPr>
          <w:rFonts w:ascii="Times New Roman" w:hAnsi="Times New Roman" w:cs="Times New Roman" w:hint="eastAsia"/>
          <w:sz w:val="24"/>
        </w:rPr>
        <w:t>(201</w:t>
      </w:r>
      <w:r w:rsidR="002F643C">
        <w:rPr>
          <w:rFonts w:ascii="Times New Roman" w:hAnsi="Times New Roman" w:cs="Times New Roman"/>
          <w:sz w:val="24"/>
        </w:rPr>
        <w:t>8</w:t>
      </w:r>
      <w:r w:rsidR="002F643C" w:rsidRPr="002F643C">
        <w:rPr>
          <w:rFonts w:ascii="Times New Roman" w:hAnsi="Times New Roman" w:cs="Times New Roman" w:hint="eastAsia"/>
          <w:sz w:val="24"/>
        </w:rPr>
        <w:t>)</w:t>
      </w:r>
      <w:r w:rsidR="002F643C">
        <w:rPr>
          <w:rFonts w:ascii="Times New Roman" w:hAnsi="Times New Roman" w:cs="Times New Roman"/>
          <w:sz w:val="24"/>
        </w:rPr>
        <w:t>, t</w:t>
      </w:r>
      <w:r w:rsidR="007B3A71">
        <w:rPr>
          <w:rFonts w:ascii="Times New Roman" w:hAnsi="Times New Roman" w:cs="Times New Roman"/>
          <w:sz w:val="24"/>
        </w:rPr>
        <w:t>he highest GPD country was at the very top and it was USA.</w:t>
      </w:r>
      <w:r w:rsidR="00DD395F">
        <w:rPr>
          <w:rFonts w:ascii="Times New Roman" w:hAnsi="Times New Roman" w:cs="Times New Roman"/>
          <w:sz w:val="24"/>
        </w:rPr>
        <w:t xml:space="preserve"> The higher the GDP the greater the population. </w:t>
      </w:r>
      <w:r w:rsidR="00A04AA8">
        <w:rPr>
          <w:rFonts w:ascii="Times New Roman" w:hAnsi="Times New Roman" w:cs="Times New Roman"/>
          <w:sz w:val="24"/>
        </w:rPr>
        <w:t>The lower the GDP the lower the population.</w:t>
      </w:r>
      <w:r w:rsidR="005A770C">
        <w:rPr>
          <w:rFonts w:ascii="Times New Roman" w:hAnsi="Times New Roman" w:cs="Times New Roman"/>
          <w:sz w:val="24"/>
        </w:rPr>
        <w:t xml:space="preserve"> The report identified that </w:t>
      </w:r>
      <w:r w:rsidR="00F01376">
        <w:rPr>
          <w:rFonts w:ascii="Times New Roman" w:hAnsi="Times New Roman" w:cs="Times New Roman"/>
          <w:sz w:val="24"/>
        </w:rPr>
        <w:t>GPD and population was so consistent that they formed nearly the same gradient.</w:t>
      </w:r>
    </w:p>
    <w:p w:rsidR="00A77814" w:rsidRDefault="00F01376" w:rsidP="00177D11">
      <w:pPr>
        <w:spacing w:line="480" w:lineRule="auto"/>
        <w:ind w:firstLine="720"/>
        <w:rPr>
          <w:rFonts w:ascii="Times New Roman" w:hAnsi="Times New Roman" w:cs="Times New Roman"/>
          <w:sz w:val="24"/>
        </w:rPr>
      </w:pPr>
      <w:r>
        <w:rPr>
          <w:rFonts w:ascii="Times New Roman" w:hAnsi="Times New Roman" w:cs="Times New Roman"/>
          <w:sz w:val="24"/>
        </w:rPr>
        <w:t>The population size often affects the GDP growth potential of a nation in great perspective.</w:t>
      </w:r>
      <w:r w:rsidR="0058120F">
        <w:rPr>
          <w:rFonts w:ascii="Times New Roman" w:hAnsi="Times New Roman" w:cs="Times New Roman"/>
          <w:sz w:val="24"/>
        </w:rPr>
        <w:t xml:space="preserve"> A large population means a greater labor input into the economy, and a lower population means a lower labor input into the economy and thus lower GDP.</w:t>
      </w:r>
      <w:r w:rsidR="0000520D">
        <w:rPr>
          <w:rFonts w:ascii="Times New Roman" w:hAnsi="Times New Roman" w:cs="Times New Roman"/>
          <w:sz w:val="24"/>
        </w:rPr>
        <w:t xml:space="preserve"> </w:t>
      </w:r>
      <w:r w:rsidR="0064709F" w:rsidRPr="002F643C">
        <w:rPr>
          <w:rFonts w:ascii="Times New Roman" w:hAnsi="Times New Roman" w:cs="Times New Roman" w:hint="eastAsia"/>
          <w:sz w:val="24"/>
        </w:rPr>
        <w:t>Liu</w:t>
      </w:r>
      <w:r w:rsidR="0064709F">
        <w:rPr>
          <w:rFonts w:ascii="Times New Roman" w:hAnsi="Times New Roman" w:cs="Times New Roman"/>
          <w:sz w:val="24"/>
        </w:rPr>
        <w:t xml:space="preserve"> and</w:t>
      </w:r>
      <w:r w:rsidR="0064709F">
        <w:rPr>
          <w:rFonts w:ascii="Times New Roman" w:hAnsi="Times New Roman" w:cs="Times New Roman" w:hint="eastAsia"/>
          <w:sz w:val="24"/>
        </w:rPr>
        <w:t xml:space="preserve"> Lara,</w:t>
      </w:r>
      <w:r w:rsidR="0064709F" w:rsidRPr="002F643C">
        <w:rPr>
          <w:rFonts w:ascii="Times New Roman" w:hAnsi="Times New Roman" w:cs="Times New Roman" w:hint="eastAsia"/>
          <w:sz w:val="24"/>
        </w:rPr>
        <w:t xml:space="preserve"> (2019)</w:t>
      </w:r>
      <w:r w:rsidR="0064709F">
        <w:rPr>
          <w:rFonts w:ascii="Times New Roman" w:hAnsi="Times New Roman" w:cs="Times New Roman"/>
          <w:sz w:val="24"/>
        </w:rPr>
        <w:t xml:space="preserve"> explained that l</w:t>
      </w:r>
      <w:bookmarkStart w:id="0" w:name="_GoBack"/>
      <w:bookmarkEnd w:id="0"/>
      <w:r w:rsidR="0000520D">
        <w:rPr>
          <w:rFonts w:ascii="Times New Roman" w:hAnsi="Times New Roman" w:cs="Times New Roman"/>
          <w:sz w:val="24"/>
        </w:rPr>
        <w:t>ow populations are associated with higher tax rates and reduced workplace incentives.</w:t>
      </w:r>
      <w:r w:rsidR="00591F66">
        <w:rPr>
          <w:rFonts w:ascii="Times New Roman" w:hAnsi="Times New Roman" w:cs="Times New Roman"/>
          <w:sz w:val="24"/>
        </w:rPr>
        <w:t xml:space="preserve"> The population forms fundamental part of the GDP not only in terms of productivity and labor, but also ready market for its finished goods which is good for business growth in the economic block.</w:t>
      </w:r>
      <w:r w:rsidR="00A77814">
        <w:rPr>
          <w:rFonts w:ascii="Times New Roman" w:hAnsi="Times New Roman" w:cs="Times New Roman"/>
          <w:sz w:val="24"/>
        </w:rPr>
        <w:br w:type="page"/>
      </w:r>
    </w:p>
    <w:p w:rsidR="00A77814" w:rsidRDefault="00A77814" w:rsidP="00A77814">
      <w:pPr>
        <w:jc w:val="center"/>
        <w:rPr>
          <w:rFonts w:ascii="Times New Roman" w:hAnsi="Times New Roman" w:cs="Times New Roman"/>
          <w:sz w:val="24"/>
        </w:rPr>
      </w:pPr>
      <w:r>
        <w:rPr>
          <w:rFonts w:ascii="Times New Roman" w:hAnsi="Times New Roman" w:cs="Times New Roman"/>
          <w:sz w:val="24"/>
        </w:rPr>
        <w:lastRenderedPageBreak/>
        <w:t>Part 2</w:t>
      </w:r>
    </w:p>
    <w:tbl>
      <w:tblPr>
        <w:tblStyle w:val="TableGrid"/>
        <w:tblW w:w="9445" w:type="dxa"/>
        <w:tblLook w:val="04A0" w:firstRow="1" w:lastRow="0" w:firstColumn="1" w:lastColumn="0" w:noHBand="0" w:noVBand="1"/>
      </w:tblPr>
      <w:tblGrid>
        <w:gridCol w:w="1339"/>
        <w:gridCol w:w="812"/>
        <w:gridCol w:w="1536"/>
        <w:gridCol w:w="1308"/>
        <w:gridCol w:w="1476"/>
        <w:gridCol w:w="1070"/>
        <w:gridCol w:w="776"/>
        <w:gridCol w:w="1110"/>
        <w:gridCol w:w="1043"/>
      </w:tblGrid>
      <w:tr w:rsidR="00A77814" w:rsidRPr="00A77814" w:rsidTr="00A77814">
        <w:trPr>
          <w:trHeight w:val="6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 </w:t>
            </w:r>
          </w:p>
        </w:tc>
        <w:tc>
          <w:tcPr>
            <w:tcW w:w="812"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Year</w:t>
            </w:r>
          </w:p>
        </w:tc>
        <w:tc>
          <w:tcPr>
            <w:tcW w:w="1273"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GDP</w:t>
            </w:r>
          </w:p>
        </w:tc>
        <w:tc>
          <w:tcPr>
            <w:tcW w:w="1308"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Population</w:t>
            </w:r>
          </w:p>
        </w:tc>
        <w:tc>
          <w:tcPr>
            <w:tcW w:w="1244"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Per Capita GDP</w:t>
            </w:r>
          </w:p>
        </w:tc>
        <w:tc>
          <w:tcPr>
            <w:tcW w:w="900"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Business</w:t>
            </w:r>
          </w:p>
        </w:tc>
        <w:tc>
          <w:tcPr>
            <w:tcW w:w="664"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Trade</w:t>
            </w:r>
          </w:p>
        </w:tc>
        <w:tc>
          <w:tcPr>
            <w:tcW w:w="932" w:type="dxa"/>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Financial Freedom</w:t>
            </w:r>
          </w:p>
        </w:tc>
        <w:tc>
          <w:tcPr>
            <w:tcW w:w="973" w:type="dxa"/>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Property Rights</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United States</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2.13744E+13</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328239523</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65118.35833</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83.3</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79.8</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80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81.8</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Togo</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5459979417</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104494</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52251.60695</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55</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63.2</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41.6</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Uruguay</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56045912952</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3461734</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16190.12696</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73.6</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77.4</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72</w:t>
            </w:r>
          </w:p>
        </w:tc>
      </w:tr>
      <w:tr w:rsidR="00A77814" w:rsidRPr="00A77814" w:rsidTr="00A77814">
        <w:trPr>
          <w:trHeight w:val="600"/>
        </w:trPr>
        <w:tc>
          <w:tcPr>
            <w:tcW w:w="1339" w:type="dxa"/>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St. Vincent and the Grenadines</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825385185.2</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110589</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7463.537831</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75.8</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67.2</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50.5</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South Africa</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3.51432E+11</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58558270</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6001.400814</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62</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75.8</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58.4</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Kosovo</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7926108374</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1794248</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4417.50994</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75</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76.2</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66.3</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Samoa</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850655017.2</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197097</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4315.920675</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76.6</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64.6</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60.5</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Ukraine</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1.53781E+11</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44385155</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3464.696003</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61.3</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81.2</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47.5</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Tunisia</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38797709924</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11694719</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3317.541013</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78.1</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66.4</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56.4</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Vanuatu</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917058850.8</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299882</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3058.065675</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51.8</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63.4</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68.3</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Vietnam</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2.61921E+11</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96462106</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2715.276036</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65.6</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79.6</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52.6</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Uzbekistan</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57921286440</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33580650</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1724.841134</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72.6</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67.6</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59.1</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Zimbabwe</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21440758800</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14645468</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1463.98591</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39.1</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70</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33.7</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Zambia</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23064722446</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17861030</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1291.343357</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66.4</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72.6</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50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45.2</w:t>
            </w:r>
          </w:p>
        </w:tc>
      </w:tr>
      <w:tr w:rsidR="00A77814" w:rsidRPr="00A77814" w:rsidTr="00A77814">
        <w:trPr>
          <w:trHeight w:val="300"/>
        </w:trPr>
        <w:tc>
          <w:tcPr>
            <w:tcW w:w="1339" w:type="dxa"/>
            <w:noWrap/>
            <w:hideMark/>
          </w:tcPr>
          <w:p w:rsidR="00A77814" w:rsidRPr="00A77814" w:rsidRDefault="00A77814">
            <w:pPr>
              <w:rPr>
                <w:rFonts w:ascii="Times New Roman" w:hAnsi="Times New Roman" w:cs="Times New Roman"/>
                <w:sz w:val="24"/>
              </w:rPr>
            </w:pPr>
            <w:r w:rsidRPr="00A77814">
              <w:rPr>
                <w:rFonts w:ascii="Times New Roman" w:hAnsi="Times New Roman" w:cs="Times New Roman"/>
                <w:sz w:val="24"/>
              </w:rPr>
              <w:t>Uganda</w:t>
            </w:r>
          </w:p>
        </w:tc>
        <w:tc>
          <w:tcPr>
            <w:tcW w:w="81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2019</w:t>
            </w:r>
          </w:p>
        </w:tc>
        <w:tc>
          <w:tcPr>
            <w:tcW w:w="12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34387229486</w:t>
            </w:r>
          </w:p>
        </w:tc>
        <w:tc>
          <w:tcPr>
            <w:tcW w:w="1308"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44269594</w:t>
            </w:r>
          </w:p>
        </w:tc>
        <w:tc>
          <w:tcPr>
            <w:tcW w:w="124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776.7685759</w:t>
            </w:r>
          </w:p>
        </w:tc>
        <w:tc>
          <w:tcPr>
            <w:tcW w:w="900"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46</w:t>
            </w:r>
          </w:p>
        </w:tc>
        <w:tc>
          <w:tcPr>
            <w:tcW w:w="664"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75.4</w:t>
            </w:r>
          </w:p>
        </w:tc>
        <w:tc>
          <w:tcPr>
            <w:tcW w:w="932"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40</w:t>
            </w:r>
          </w:p>
        </w:tc>
        <w:tc>
          <w:tcPr>
            <w:tcW w:w="973" w:type="dxa"/>
            <w:noWrap/>
            <w:hideMark/>
          </w:tcPr>
          <w:p w:rsidR="00A77814" w:rsidRPr="00A77814" w:rsidRDefault="00A77814" w:rsidP="00A77814">
            <w:pPr>
              <w:rPr>
                <w:rFonts w:ascii="Times New Roman" w:hAnsi="Times New Roman" w:cs="Times New Roman"/>
                <w:sz w:val="24"/>
              </w:rPr>
            </w:pPr>
            <w:r w:rsidRPr="00A77814">
              <w:rPr>
                <w:rFonts w:ascii="Times New Roman" w:hAnsi="Times New Roman" w:cs="Times New Roman"/>
                <w:sz w:val="24"/>
              </w:rPr>
              <w:t>45.6</w:t>
            </w:r>
          </w:p>
        </w:tc>
      </w:tr>
    </w:tbl>
    <w:p w:rsidR="00A77814" w:rsidRDefault="00A77814" w:rsidP="00A77814">
      <w:pPr>
        <w:rPr>
          <w:rFonts w:ascii="Times New Roman" w:hAnsi="Times New Roman" w:cs="Times New Roman"/>
          <w:i/>
          <w:sz w:val="24"/>
        </w:rPr>
      </w:pPr>
      <w:r>
        <w:rPr>
          <w:rFonts w:ascii="Times New Roman" w:hAnsi="Times New Roman" w:cs="Times New Roman"/>
          <w:sz w:val="24"/>
        </w:rPr>
        <w:t xml:space="preserve">Figure </w:t>
      </w:r>
      <w:r w:rsidR="00AB7391">
        <w:rPr>
          <w:rFonts w:ascii="Times New Roman" w:hAnsi="Times New Roman" w:cs="Times New Roman"/>
          <w:sz w:val="24"/>
        </w:rPr>
        <w:t>3</w:t>
      </w:r>
      <w:r>
        <w:rPr>
          <w:rFonts w:ascii="Times New Roman" w:hAnsi="Times New Roman" w:cs="Times New Roman"/>
          <w:sz w:val="24"/>
        </w:rPr>
        <w:t xml:space="preserve">: </w:t>
      </w:r>
      <w:r w:rsidRPr="00922B43">
        <w:rPr>
          <w:rFonts w:ascii="Times New Roman" w:hAnsi="Times New Roman" w:cs="Times New Roman"/>
          <w:i/>
          <w:sz w:val="24"/>
        </w:rPr>
        <w:t xml:space="preserve">GDP Per Capita vs </w:t>
      </w:r>
      <w:r w:rsidR="00DE6426" w:rsidRPr="00922B43">
        <w:rPr>
          <w:rFonts w:ascii="Times New Roman" w:hAnsi="Times New Roman" w:cs="Times New Roman"/>
          <w:i/>
          <w:sz w:val="24"/>
        </w:rPr>
        <w:t>Economic Freedoms</w:t>
      </w:r>
    </w:p>
    <w:p w:rsidR="00AB7391" w:rsidRDefault="002227F5" w:rsidP="00A77814">
      <w:pPr>
        <w:rPr>
          <w:rFonts w:ascii="Times New Roman" w:hAnsi="Times New Roman" w:cs="Times New Roman"/>
          <w:i/>
          <w:sz w:val="24"/>
        </w:rPr>
      </w:pPr>
      <w:r>
        <w:rPr>
          <w:noProof/>
        </w:rPr>
        <w:drawing>
          <wp:inline distT="0" distB="0" distL="0" distR="0" wp14:anchorId="117CB2A9" wp14:editId="3470B57B">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B7391" w:rsidRPr="00AB7391" w:rsidRDefault="00AB7391" w:rsidP="00A77814">
      <w:pPr>
        <w:rPr>
          <w:rFonts w:ascii="Times New Roman" w:hAnsi="Times New Roman" w:cs="Times New Roman"/>
          <w:sz w:val="24"/>
        </w:rPr>
      </w:pPr>
      <w:r>
        <w:rPr>
          <w:rFonts w:ascii="Times New Roman" w:hAnsi="Times New Roman" w:cs="Times New Roman"/>
          <w:sz w:val="24"/>
        </w:rPr>
        <w:t xml:space="preserve">Figure 4: </w:t>
      </w:r>
      <w:r w:rsidRPr="00AB7391">
        <w:rPr>
          <w:rFonts w:ascii="Times New Roman" w:hAnsi="Times New Roman" w:cs="Times New Roman"/>
          <w:i/>
          <w:sz w:val="24"/>
        </w:rPr>
        <w:t>Per capita GDP vs Economic Indicators</w:t>
      </w:r>
    </w:p>
    <w:p w:rsidR="00276E20" w:rsidRPr="00276E20" w:rsidRDefault="002227F5" w:rsidP="00A33818">
      <w:pPr>
        <w:spacing w:line="480" w:lineRule="auto"/>
        <w:ind w:firstLine="720"/>
        <w:rPr>
          <w:rFonts w:ascii="Times New Roman" w:hAnsi="Times New Roman" w:cs="Times New Roman"/>
          <w:sz w:val="24"/>
        </w:rPr>
      </w:pPr>
      <w:r>
        <w:rPr>
          <w:rFonts w:ascii="Times New Roman" w:hAnsi="Times New Roman" w:cs="Times New Roman"/>
          <w:sz w:val="24"/>
        </w:rPr>
        <w:lastRenderedPageBreak/>
        <w:t>The figure 4 indicated that there existed a strong similarity between the GDP per capita to the four economic indicators. The table in figure 3 indicated that the per capita GDP reduced significantly from the highest nation to the lowest nation.</w:t>
      </w:r>
      <w:r w:rsidR="00E0325E">
        <w:rPr>
          <w:rFonts w:ascii="Times New Roman" w:hAnsi="Times New Roman" w:cs="Times New Roman"/>
          <w:sz w:val="24"/>
        </w:rPr>
        <w:t xml:space="preserve"> </w:t>
      </w:r>
      <w:r w:rsidR="006B0374">
        <w:rPr>
          <w:rFonts w:ascii="Times New Roman" w:hAnsi="Times New Roman" w:cs="Times New Roman"/>
          <w:sz w:val="24"/>
        </w:rPr>
        <w:t xml:space="preserve">According to </w:t>
      </w:r>
      <w:r w:rsidR="006B0374" w:rsidRPr="002F643C">
        <w:rPr>
          <w:rFonts w:ascii="Times New Roman" w:hAnsi="Times New Roman" w:cs="Times New Roman" w:hint="eastAsia"/>
          <w:sz w:val="24"/>
        </w:rPr>
        <w:t>Liu</w:t>
      </w:r>
      <w:r w:rsidR="00C90575">
        <w:rPr>
          <w:rFonts w:ascii="Times New Roman" w:hAnsi="Times New Roman" w:cs="Times New Roman"/>
          <w:sz w:val="24"/>
        </w:rPr>
        <w:t xml:space="preserve"> and</w:t>
      </w:r>
      <w:r w:rsidR="0062388B">
        <w:rPr>
          <w:rFonts w:ascii="Times New Roman" w:hAnsi="Times New Roman" w:cs="Times New Roman" w:hint="eastAsia"/>
          <w:sz w:val="24"/>
        </w:rPr>
        <w:t xml:space="preserve"> Lara,</w:t>
      </w:r>
      <w:r w:rsidR="006B0374" w:rsidRPr="002F643C">
        <w:rPr>
          <w:rFonts w:ascii="Times New Roman" w:hAnsi="Times New Roman" w:cs="Times New Roman" w:hint="eastAsia"/>
          <w:sz w:val="24"/>
        </w:rPr>
        <w:t xml:space="preserve"> (2019)</w:t>
      </w:r>
      <w:r w:rsidR="006B0374">
        <w:rPr>
          <w:rFonts w:ascii="Times New Roman" w:hAnsi="Times New Roman" w:cs="Times New Roman"/>
          <w:sz w:val="24"/>
        </w:rPr>
        <w:t>, t</w:t>
      </w:r>
      <w:r w:rsidR="00E0325E">
        <w:rPr>
          <w:rFonts w:ascii="Times New Roman" w:hAnsi="Times New Roman" w:cs="Times New Roman"/>
          <w:sz w:val="24"/>
        </w:rPr>
        <w:t xml:space="preserve">he </w:t>
      </w:r>
      <w:r w:rsidR="00A40EB7">
        <w:rPr>
          <w:rFonts w:ascii="Times New Roman" w:hAnsi="Times New Roman" w:cs="Times New Roman"/>
          <w:sz w:val="24"/>
        </w:rPr>
        <w:t xml:space="preserve">GDP per capita was relatively higher than all the four economic indicators but steadily dropped as it continued from the highest GDP per capita nation to the least GDP per Capita. The </w:t>
      </w:r>
      <w:r w:rsidR="00283353">
        <w:rPr>
          <w:rFonts w:ascii="Times New Roman" w:hAnsi="Times New Roman" w:cs="Times New Roman"/>
          <w:sz w:val="24"/>
        </w:rPr>
        <w:t>four economic indicators expressed almost the same trend in the report.</w:t>
      </w:r>
      <w:r w:rsidR="00420E57">
        <w:rPr>
          <w:rFonts w:ascii="Times New Roman" w:hAnsi="Times New Roman" w:cs="Times New Roman"/>
          <w:sz w:val="24"/>
        </w:rPr>
        <w:t xml:space="preserve"> They reduced in the same manner from the greatest country to the least country. </w:t>
      </w:r>
      <w:r w:rsidR="00497255">
        <w:rPr>
          <w:rFonts w:ascii="Times New Roman" w:hAnsi="Times New Roman" w:cs="Times New Roman"/>
          <w:sz w:val="24"/>
        </w:rPr>
        <w:t>Such trends can let governments form good business policies and trading deals with other nations.</w:t>
      </w:r>
      <w:r w:rsidR="00AE27D3">
        <w:rPr>
          <w:rFonts w:ascii="Times New Roman" w:hAnsi="Times New Roman" w:cs="Times New Roman"/>
          <w:sz w:val="24"/>
        </w:rPr>
        <w:t xml:space="preserve"> </w:t>
      </w:r>
    </w:p>
    <w:p w:rsidR="00BD316D" w:rsidRPr="00BD316D" w:rsidRDefault="00BD316D">
      <w:pPr>
        <w:rPr>
          <w:rFonts w:ascii="Times New Roman" w:hAnsi="Times New Roman" w:cs="Times New Roman"/>
          <w:sz w:val="24"/>
        </w:rPr>
      </w:pPr>
      <w:r w:rsidRPr="00BD316D">
        <w:rPr>
          <w:rFonts w:ascii="Times New Roman" w:hAnsi="Times New Roman" w:cs="Times New Roman"/>
          <w:sz w:val="24"/>
        </w:rPr>
        <w:br w:type="page"/>
      </w:r>
    </w:p>
    <w:p w:rsidR="00D063E5" w:rsidRDefault="00D063E5" w:rsidP="00D063E5">
      <w:pPr>
        <w:jc w:val="center"/>
        <w:rPr>
          <w:rFonts w:ascii="Times New Roman" w:hAnsi="Times New Roman" w:cs="Times New Roman"/>
          <w:sz w:val="24"/>
        </w:rPr>
      </w:pPr>
      <w:r w:rsidRPr="00BD316D">
        <w:rPr>
          <w:rFonts w:ascii="Times New Roman" w:hAnsi="Times New Roman" w:cs="Times New Roman"/>
          <w:sz w:val="24"/>
        </w:rPr>
        <w:lastRenderedPageBreak/>
        <w:t>References</w:t>
      </w:r>
    </w:p>
    <w:p w:rsidR="002F643C" w:rsidRDefault="002F643C" w:rsidP="002F643C">
      <w:pPr>
        <w:spacing w:line="480" w:lineRule="auto"/>
        <w:ind w:left="720" w:hanging="720"/>
        <w:rPr>
          <w:rFonts w:ascii="Times New Roman" w:hAnsi="Times New Roman" w:cs="Times New Roman"/>
          <w:sz w:val="24"/>
        </w:rPr>
      </w:pPr>
      <w:r w:rsidRPr="002F643C">
        <w:rPr>
          <w:rFonts w:ascii="Times New Roman" w:hAnsi="Times New Roman" w:cs="Times New Roman" w:hint="eastAsia"/>
          <w:sz w:val="24"/>
        </w:rPr>
        <w:t>Avakov, A. V. (201</w:t>
      </w:r>
      <w:r>
        <w:rPr>
          <w:rFonts w:ascii="Times New Roman" w:hAnsi="Times New Roman" w:cs="Times New Roman"/>
          <w:sz w:val="24"/>
        </w:rPr>
        <w:t>8</w:t>
      </w:r>
      <w:r w:rsidRPr="002F643C">
        <w:rPr>
          <w:rFonts w:ascii="Times New Roman" w:hAnsi="Times New Roman" w:cs="Times New Roman" w:hint="eastAsia"/>
          <w:sz w:val="24"/>
        </w:rPr>
        <w:t>). </w:t>
      </w:r>
      <w:r w:rsidRPr="002F643C">
        <w:rPr>
          <w:rFonts w:ascii="Times New Roman" w:hAnsi="Times New Roman" w:cs="Times New Roman" w:hint="eastAsia"/>
          <w:i/>
          <w:iCs/>
          <w:sz w:val="24"/>
        </w:rPr>
        <w:t>Two thousand years of economic statistics: Population, GDP at PPP, and GDP per capita : years 1 to 201</w:t>
      </w:r>
      <w:r>
        <w:rPr>
          <w:rFonts w:ascii="Times New Roman" w:hAnsi="Times New Roman" w:cs="Times New Roman"/>
          <w:i/>
          <w:iCs/>
          <w:sz w:val="24"/>
        </w:rPr>
        <w:t>6</w:t>
      </w:r>
      <w:r w:rsidRPr="002F643C">
        <w:rPr>
          <w:rFonts w:ascii="Times New Roman" w:hAnsi="Times New Roman" w:cs="Times New Roman" w:hint="eastAsia"/>
          <w:sz w:val="24"/>
        </w:rPr>
        <w:t>.</w:t>
      </w:r>
    </w:p>
    <w:p w:rsidR="00D063E5" w:rsidRPr="00BD316D" w:rsidRDefault="002F643C" w:rsidP="002F643C">
      <w:pPr>
        <w:spacing w:line="480" w:lineRule="auto"/>
        <w:ind w:left="720" w:hanging="720"/>
        <w:rPr>
          <w:rFonts w:ascii="Times New Roman" w:hAnsi="Times New Roman" w:cs="Times New Roman"/>
          <w:sz w:val="24"/>
        </w:rPr>
      </w:pPr>
      <w:r w:rsidRPr="002F643C">
        <w:rPr>
          <w:rFonts w:ascii="Times New Roman" w:hAnsi="Times New Roman" w:cs="Times New Roman" w:hint="eastAsia"/>
          <w:sz w:val="24"/>
        </w:rPr>
        <w:t>Liu, A., &amp; Lara, G. (2019). </w:t>
      </w:r>
      <w:r w:rsidRPr="002F643C">
        <w:rPr>
          <w:rFonts w:ascii="Times New Roman" w:hAnsi="Times New Roman" w:cs="Times New Roman" w:hint="eastAsia"/>
          <w:i/>
          <w:iCs/>
          <w:sz w:val="24"/>
        </w:rPr>
        <w:t>Guo ji yuan zhu he ren jun sheng chan zong zhi ke yi cu shi ni jia la gua ren min qian yi zhi qi ta guo jia ma? =: Can foreign assistance and GDP per capita create potential migration in Nicaragua?</w:t>
      </w:r>
      <w:r w:rsidRPr="002F643C">
        <w:rPr>
          <w:rFonts w:ascii="Times New Roman" w:hAnsi="Times New Roman" w:cs="Times New Roman" w:hint="eastAsia"/>
          <w:sz w:val="24"/>
        </w:rPr>
        <w:t>. tai bei shi: Liu ai de.</w:t>
      </w:r>
    </w:p>
    <w:sectPr w:rsidR="00D063E5" w:rsidRPr="00BD316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00C" w:rsidRDefault="0097200C" w:rsidP="00BD316D">
      <w:pPr>
        <w:spacing w:after="0" w:line="240" w:lineRule="auto"/>
      </w:pPr>
      <w:r>
        <w:separator/>
      </w:r>
    </w:p>
  </w:endnote>
  <w:endnote w:type="continuationSeparator" w:id="0">
    <w:p w:rsidR="0097200C" w:rsidRDefault="0097200C" w:rsidP="00BD3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00C" w:rsidRDefault="0097200C" w:rsidP="00BD316D">
      <w:pPr>
        <w:spacing w:after="0" w:line="240" w:lineRule="auto"/>
      </w:pPr>
      <w:r>
        <w:separator/>
      </w:r>
    </w:p>
  </w:footnote>
  <w:footnote w:type="continuationSeparator" w:id="0">
    <w:p w:rsidR="0097200C" w:rsidRDefault="0097200C" w:rsidP="00BD31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16D" w:rsidRPr="00BD316D" w:rsidRDefault="00BD316D">
    <w:pPr>
      <w:pStyle w:val="Header"/>
      <w:rPr>
        <w:rFonts w:ascii="Times New Roman" w:hAnsi="Times New Roman" w:cs="Times New Roman"/>
        <w:sz w:val="24"/>
      </w:rPr>
    </w:pPr>
    <w:r w:rsidRPr="00BD316D">
      <w:rPr>
        <w:rFonts w:ascii="Times New Roman" w:hAnsi="Times New Roman" w:cs="Times New Roman"/>
        <w:sz w:val="24"/>
      </w:rPr>
      <w:t>DATA EXERCISE 3</w:t>
    </w:r>
    <w:r w:rsidRPr="00BD316D">
      <w:rPr>
        <w:rFonts w:ascii="Times New Roman" w:hAnsi="Times New Roman" w:cs="Times New Roman"/>
        <w:sz w:val="24"/>
      </w:rPr>
      <w:tab/>
    </w:r>
    <w:r w:rsidRPr="00BD316D">
      <w:rPr>
        <w:rFonts w:ascii="Times New Roman" w:hAnsi="Times New Roman" w:cs="Times New Roman"/>
        <w:sz w:val="24"/>
      </w:rPr>
      <w:tab/>
    </w:r>
    <w:r w:rsidRPr="00BD316D">
      <w:rPr>
        <w:rFonts w:ascii="Times New Roman" w:hAnsi="Times New Roman" w:cs="Times New Roman"/>
        <w:sz w:val="24"/>
      </w:rPr>
      <w:fldChar w:fldCharType="begin"/>
    </w:r>
    <w:r w:rsidRPr="00BD316D">
      <w:rPr>
        <w:rFonts w:ascii="Times New Roman" w:hAnsi="Times New Roman" w:cs="Times New Roman"/>
        <w:sz w:val="24"/>
      </w:rPr>
      <w:instrText xml:space="preserve"> PAGE   \* MERGEFORMAT </w:instrText>
    </w:r>
    <w:r w:rsidRPr="00BD316D">
      <w:rPr>
        <w:rFonts w:ascii="Times New Roman" w:hAnsi="Times New Roman" w:cs="Times New Roman"/>
        <w:sz w:val="24"/>
      </w:rPr>
      <w:fldChar w:fldCharType="separate"/>
    </w:r>
    <w:r w:rsidR="0064709F">
      <w:rPr>
        <w:rFonts w:ascii="Times New Roman" w:hAnsi="Times New Roman" w:cs="Times New Roman"/>
        <w:noProof/>
        <w:sz w:val="24"/>
      </w:rPr>
      <w:t>6</w:t>
    </w:r>
    <w:r w:rsidRPr="00BD316D">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0NDe0MDIzMrY0NjZT0lEKTi0uzszPAykwrAUA//cRYCwAAAA="/>
  </w:docVars>
  <w:rsids>
    <w:rsidRoot w:val="00D063E5"/>
    <w:rsid w:val="0000520D"/>
    <w:rsid w:val="000924ED"/>
    <w:rsid w:val="00177D11"/>
    <w:rsid w:val="002227F5"/>
    <w:rsid w:val="00276E20"/>
    <w:rsid w:val="00283353"/>
    <w:rsid w:val="002F643C"/>
    <w:rsid w:val="003D5049"/>
    <w:rsid w:val="00420E57"/>
    <w:rsid w:val="00433160"/>
    <w:rsid w:val="00493C91"/>
    <w:rsid w:val="00497255"/>
    <w:rsid w:val="0058120F"/>
    <w:rsid w:val="00591F66"/>
    <w:rsid w:val="005A770C"/>
    <w:rsid w:val="0062388B"/>
    <w:rsid w:val="0064709F"/>
    <w:rsid w:val="006B0374"/>
    <w:rsid w:val="006B2C06"/>
    <w:rsid w:val="006C782E"/>
    <w:rsid w:val="007945D1"/>
    <w:rsid w:val="007B3A71"/>
    <w:rsid w:val="00816B85"/>
    <w:rsid w:val="00922B43"/>
    <w:rsid w:val="0097200C"/>
    <w:rsid w:val="009B593F"/>
    <w:rsid w:val="009B7077"/>
    <w:rsid w:val="00A04AA8"/>
    <w:rsid w:val="00A05E67"/>
    <w:rsid w:val="00A33818"/>
    <w:rsid w:val="00A40EB7"/>
    <w:rsid w:val="00A77814"/>
    <w:rsid w:val="00AB7391"/>
    <w:rsid w:val="00AE27D3"/>
    <w:rsid w:val="00AE3746"/>
    <w:rsid w:val="00BD316D"/>
    <w:rsid w:val="00C90575"/>
    <w:rsid w:val="00D063E5"/>
    <w:rsid w:val="00DC29CF"/>
    <w:rsid w:val="00DD395F"/>
    <w:rsid w:val="00DE6426"/>
    <w:rsid w:val="00E0325E"/>
    <w:rsid w:val="00EE7020"/>
    <w:rsid w:val="00F01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4CE64-EB2E-4A14-8C93-55D4FB56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16D"/>
  </w:style>
  <w:style w:type="paragraph" w:styleId="Footer">
    <w:name w:val="footer"/>
    <w:basedOn w:val="Normal"/>
    <w:link w:val="FooterChar"/>
    <w:uiPriority w:val="99"/>
    <w:unhideWhenUsed/>
    <w:rsid w:val="00BD3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16D"/>
  </w:style>
  <w:style w:type="table" w:styleId="TableGrid">
    <w:name w:val="Table Grid"/>
    <w:basedOn w:val="TableNormal"/>
    <w:uiPriority w:val="39"/>
    <w:rsid w:val="00A7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192963">
      <w:bodyDiv w:val="1"/>
      <w:marLeft w:val="0"/>
      <w:marRight w:val="0"/>
      <w:marTop w:val="0"/>
      <w:marBottom w:val="0"/>
      <w:divBdr>
        <w:top w:val="none" w:sz="0" w:space="0" w:color="auto"/>
        <w:left w:val="none" w:sz="0" w:space="0" w:color="auto"/>
        <w:bottom w:val="none" w:sz="0" w:space="0" w:color="auto"/>
        <w:right w:val="none" w:sz="0" w:space="0" w:color="auto"/>
      </w:divBdr>
    </w:div>
    <w:div w:id="770471813">
      <w:bodyDiv w:val="1"/>
      <w:marLeft w:val="0"/>
      <w:marRight w:val="0"/>
      <w:marTop w:val="0"/>
      <w:marBottom w:val="0"/>
      <w:divBdr>
        <w:top w:val="none" w:sz="0" w:space="0" w:color="auto"/>
        <w:left w:val="none" w:sz="0" w:space="0" w:color="auto"/>
        <w:bottom w:val="none" w:sz="0" w:space="0" w:color="auto"/>
        <w:right w:val="none" w:sz="0" w:space="0" w:color="auto"/>
      </w:divBdr>
    </w:div>
    <w:div w:id="905185891">
      <w:bodyDiv w:val="1"/>
      <w:marLeft w:val="0"/>
      <w:marRight w:val="0"/>
      <w:marTop w:val="0"/>
      <w:marBottom w:val="0"/>
      <w:divBdr>
        <w:top w:val="none" w:sz="0" w:space="0" w:color="auto"/>
        <w:left w:val="none" w:sz="0" w:space="0" w:color="auto"/>
        <w:bottom w:val="none" w:sz="0" w:space="0" w:color="auto"/>
        <w:right w:val="none" w:sz="0" w:space="0" w:color="auto"/>
      </w:divBdr>
    </w:div>
    <w:div w:id="933323428">
      <w:bodyDiv w:val="1"/>
      <w:marLeft w:val="0"/>
      <w:marRight w:val="0"/>
      <w:marTop w:val="0"/>
      <w:marBottom w:val="0"/>
      <w:divBdr>
        <w:top w:val="none" w:sz="0" w:space="0" w:color="auto"/>
        <w:left w:val="none" w:sz="0" w:space="0" w:color="auto"/>
        <w:bottom w:val="none" w:sz="0" w:space="0" w:color="auto"/>
        <w:right w:val="none" w:sz="0" w:space="0" w:color="auto"/>
      </w:divBdr>
    </w:div>
    <w:div w:id="213282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Work\Desktop\W\Per%20capita%20GD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ork\Desktop\W\Per%20capita%20GDP.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GDP</a:t>
            </a:r>
            <a:r>
              <a:rPr lang="en-US" baseline="0"/>
              <a:t> Vs Population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'Part1 '!$F$2</c:f>
              <c:strCache>
                <c:ptCount val="1"/>
                <c:pt idx="0">
                  <c:v>GDP</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strRef>
              <c:f>'Part1 '!$E$3:$E$17</c:f>
              <c:strCache>
                <c:ptCount val="15"/>
                <c:pt idx="0">
                  <c:v>United States</c:v>
                </c:pt>
                <c:pt idx="1">
                  <c:v>South Africa</c:v>
                </c:pt>
                <c:pt idx="2">
                  <c:v>Vietnam</c:v>
                </c:pt>
                <c:pt idx="3">
                  <c:v>Ukraine</c:v>
                </c:pt>
                <c:pt idx="4">
                  <c:v>Uzbekistan</c:v>
                </c:pt>
                <c:pt idx="5">
                  <c:v>Uruguay</c:v>
                </c:pt>
                <c:pt idx="6">
                  <c:v>Tunisia</c:v>
                </c:pt>
                <c:pt idx="7">
                  <c:v>Uganda</c:v>
                </c:pt>
                <c:pt idx="8">
                  <c:v>Zambia</c:v>
                </c:pt>
                <c:pt idx="9">
                  <c:v>Zimbabwe</c:v>
                </c:pt>
                <c:pt idx="10">
                  <c:v>Kosovo</c:v>
                </c:pt>
                <c:pt idx="11">
                  <c:v>Togo</c:v>
                </c:pt>
                <c:pt idx="12">
                  <c:v>Vanuatu</c:v>
                </c:pt>
                <c:pt idx="13">
                  <c:v>Samoa</c:v>
                </c:pt>
                <c:pt idx="14">
                  <c:v>St. Vincent and the Grenadines</c:v>
                </c:pt>
              </c:strCache>
            </c:strRef>
          </c:xVal>
          <c:yVal>
            <c:numRef>
              <c:f>'Part1 '!$F$3:$F$17</c:f>
              <c:numCache>
                <c:formatCode>General</c:formatCode>
                <c:ptCount val="15"/>
                <c:pt idx="0">
                  <c:v>0.95467585982078096</c:v>
                </c:pt>
                <c:pt idx="1">
                  <c:v>1.5696488116349772E-2</c:v>
                </c:pt>
                <c:pt idx="2">
                  <c:v>1.1698558499140498E-2</c:v>
                </c:pt>
                <c:pt idx="3">
                  <c:v>6.8685410922515941E-3</c:v>
                </c:pt>
                <c:pt idx="4">
                  <c:v>2.587020225005491E-3</c:v>
                </c:pt>
                <c:pt idx="5">
                  <c:v>2.5032577701105908E-3</c:v>
                </c:pt>
                <c:pt idx="6">
                  <c:v>1.7328769166717714E-3</c:v>
                </c:pt>
                <c:pt idx="7">
                  <c:v>1.5358853994867734E-3</c:v>
                </c:pt>
                <c:pt idx="8">
                  <c:v>1.0301722755122011E-3</c:v>
                </c:pt>
                <c:pt idx="9">
                  <c:v>9.5763889346946911E-4</c:v>
                </c:pt>
                <c:pt idx="10">
                  <c:v>3.5401497325572324E-4</c:v>
                </c:pt>
                <c:pt idx="11">
                  <c:v>2.4386677242715208E-4</c:v>
                </c:pt>
                <c:pt idx="12">
                  <c:v>4.0959894718947923E-5</c:v>
                </c:pt>
                <c:pt idx="13">
                  <c:v>3.7994006509474867E-5</c:v>
                </c:pt>
                <c:pt idx="14">
                  <c:v>3.6865344309868059E-5</c:v>
                </c:pt>
              </c:numCache>
            </c:numRef>
          </c:yVal>
          <c:smooth val="0"/>
        </c:ser>
        <c:ser>
          <c:idx val="1"/>
          <c:order val="1"/>
          <c:tx>
            <c:strRef>
              <c:f>'Part1 '!$G$2</c:f>
              <c:strCache>
                <c:ptCount val="1"/>
                <c:pt idx="0">
                  <c:v>Population</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strRef>
              <c:f>'Part1 '!$E$3:$E$17</c:f>
              <c:strCache>
                <c:ptCount val="15"/>
                <c:pt idx="0">
                  <c:v>United States</c:v>
                </c:pt>
                <c:pt idx="1">
                  <c:v>South Africa</c:v>
                </c:pt>
                <c:pt idx="2">
                  <c:v>Vietnam</c:v>
                </c:pt>
                <c:pt idx="3">
                  <c:v>Ukraine</c:v>
                </c:pt>
                <c:pt idx="4">
                  <c:v>Uzbekistan</c:v>
                </c:pt>
                <c:pt idx="5">
                  <c:v>Uruguay</c:v>
                </c:pt>
                <c:pt idx="6">
                  <c:v>Tunisia</c:v>
                </c:pt>
                <c:pt idx="7">
                  <c:v>Uganda</c:v>
                </c:pt>
                <c:pt idx="8">
                  <c:v>Zambia</c:v>
                </c:pt>
                <c:pt idx="9">
                  <c:v>Zimbabwe</c:v>
                </c:pt>
                <c:pt idx="10">
                  <c:v>Kosovo</c:v>
                </c:pt>
                <c:pt idx="11">
                  <c:v>Togo</c:v>
                </c:pt>
                <c:pt idx="12">
                  <c:v>Vanuatu</c:v>
                </c:pt>
                <c:pt idx="13">
                  <c:v>Samoa</c:v>
                </c:pt>
                <c:pt idx="14">
                  <c:v>St. Vincent and the Grenadines</c:v>
                </c:pt>
              </c:strCache>
            </c:strRef>
          </c:xVal>
          <c:yVal>
            <c:numRef>
              <c:f>'Part1 '!$G$3:$G$17</c:f>
              <c:numCache>
                <c:formatCode>General</c:formatCode>
                <c:ptCount val="15"/>
                <c:pt idx="0">
                  <c:v>0.50062111562141032</c:v>
                </c:pt>
                <c:pt idx="1">
                  <c:v>8.9311324207169779E-2</c:v>
                </c:pt>
                <c:pt idx="2">
                  <c:v>0.1471211226471065</c:v>
                </c:pt>
                <c:pt idx="3">
                  <c:v>6.7694912574952831E-2</c:v>
                </c:pt>
                <c:pt idx="4">
                  <c:v>5.1216204290828536E-2</c:v>
                </c:pt>
                <c:pt idx="5">
                  <c:v>5.2797332911812917E-3</c:v>
                </c:pt>
                <c:pt idx="6">
                  <c:v>1.7836436085300136E-2</c:v>
                </c:pt>
                <c:pt idx="7">
                  <c:v>6.7518662389680878E-2</c:v>
                </c:pt>
                <c:pt idx="8">
                  <c:v>2.7241109428334985E-2</c:v>
                </c:pt>
                <c:pt idx="9">
                  <c:v>2.2336830318138334E-2</c:v>
                </c:pt>
                <c:pt idx="10">
                  <c:v>2.7365334535338214E-3</c:v>
                </c:pt>
                <c:pt idx="11">
                  <c:v>1.5937112745482404E-4</c:v>
                </c:pt>
                <c:pt idx="12">
                  <c:v>4.5737106861071014E-4</c:v>
                </c:pt>
                <c:pt idx="13">
                  <c:v>3.0060645690626692E-4</c:v>
                </c:pt>
                <c:pt idx="14">
                  <c:v>1.6866703939079312E-4</c:v>
                </c:pt>
              </c:numCache>
            </c:numRef>
          </c:yVal>
          <c:smooth val="0"/>
        </c:ser>
        <c:dLbls>
          <c:showLegendKey val="0"/>
          <c:showVal val="0"/>
          <c:showCatName val="0"/>
          <c:showSerName val="0"/>
          <c:showPercent val="0"/>
          <c:showBubbleSize val="0"/>
        </c:dLbls>
        <c:axId val="1360038880"/>
        <c:axId val="1360039424"/>
      </c:scatterChart>
      <c:valAx>
        <c:axId val="1360038880"/>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0039424"/>
        <c:crosses val="autoZero"/>
        <c:crossBetween val="midCat"/>
      </c:valAx>
      <c:valAx>
        <c:axId val="1360039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00388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Per capita GDP vs Economic Indicators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'Part2 '!$I$3</c:f>
              <c:strCache>
                <c:ptCount val="1"/>
                <c:pt idx="0">
                  <c:v>Per Capita GDP</c:v>
                </c:pt>
              </c:strCache>
            </c:strRef>
          </c:tx>
          <c:spPr>
            <a:ln w="38100" cap="flat" cmpd="dbl" algn="ctr">
              <a:solidFill>
                <a:schemeClr val="accent1"/>
              </a:solidFill>
              <a:miter lim="800000"/>
            </a:ln>
            <a:effectLst/>
          </c:spPr>
          <c:marker>
            <c:symbol val="none"/>
          </c:marker>
          <c:val>
            <c:numRef>
              <c:f>'Part2 '!$I$4:$I$18</c:f>
              <c:numCache>
                <c:formatCode>General</c:formatCode>
                <c:ptCount val="15"/>
                <c:pt idx="0">
                  <c:v>65118.358332816308</c:v>
                </c:pt>
                <c:pt idx="1">
                  <c:v>52251.606950342444</c:v>
                </c:pt>
                <c:pt idx="2">
                  <c:v>16190.126957282693</c:v>
                </c:pt>
                <c:pt idx="3">
                  <c:v>7463.5378309342259</c:v>
                </c:pt>
                <c:pt idx="4">
                  <c:v>6001.4008139488842</c:v>
                </c:pt>
                <c:pt idx="5">
                  <c:v>4417.509939754279</c:v>
                </c:pt>
                <c:pt idx="6">
                  <c:v>4315.9206746956479</c:v>
                </c:pt>
                <c:pt idx="7">
                  <c:v>3464.6960029349398</c:v>
                </c:pt>
                <c:pt idx="8">
                  <c:v>3317.5410134834469</c:v>
                </c:pt>
                <c:pt idx="9">
                  <c:v>3058.0656752207965</c:v>
                </c:pt>
                <c:pt idx="10">
                  <c:v>2715.2760364072114</c:v>
                </c:pt>
                <c:pt idx="11">
                  <c:v>1724.8411344137025</c:v>
                </c:pt>
                <c:pt idx="12">
                  <c:v>1463.9859101805419</c:v>
                </c:pt>
                <c:pt idx="13">
                  <c:v>1291.3433573736377</c:v>
                </c:pt>
                <c:pt idx="14">
                  <c:v>776.76857588530822</c:v>
                </c:pt>
              </c:numCache>
            </c:numRef>
          </c:val>
          <c:smooth val="0"/>
        </c:ser>
        <c:ser>
          <c:idx val="1"/>
          <c:order val="1"/>
          <c:tx>
            <c:strRef>
              <c:f>'Part2 '!$J$3</c:f>
              <c:strCache>
                <c:ptCount val="1"/>
                <c:pt idx="0">
                  <c:v>Business</c:v>
                </c:pt>
              </c:strCache>
            </c:strRef>
          </c:tx>
          <c:spPr>
            <a:ln w="38100" cap="flat" cmpd="dbl" algn="ctr">
              <a:solidFill>
                <a:schemeClr val="accent2"/>
              </a:solidFill>
              <a:miter lim="800000"/>
            </a:ln>
            <a:effectLst/>
          </c:spPr>
          <c:marker>
            <c:symbol val="none"/>
          </c:marker>
          <c:val>
            <c:numRef>
              <c:f>'Part2 '!$J$4:$J$18</c:f>
              <c:numCache>
                <c:formatCode>General</c:formatCode>
                <c:ptCount val="15"/>
                <c:pt idx="0">
                  <c:v>83.3</c:v>
                </c:pt>
                <c:pt idx="1">
                  <c:v>55</c:v>
                </c:pt>
                <c:pt idx="2">
                  <c:v>73.599999999999994</c:v>
                </c:pt>
                <c:pt idx="3">
                  <c:v>75.8</c:v>
                </c:pt>
                <c:pt idx="4">
                  <c:v>62</c:v>
                </c:pt>
                <c:pt idx="5">
                  <c:v>75</c:v>
                </c:pt>
                <c:pt idx="6">
                  <c:v>76.599999999999994</c:v>
                </c:pt>
                <c:pt idx="7">
                  <c:v>61.3</c:v>
                </c:pt>
                <c:pt idx="8">
                  <c:v>78.099999999999994</c:v>
                </c:pt>
                <c:pt idx="9">
                  <c:v>51.8</c:v>
                </c:pt>
                <c:pt idx="10">
                  <c:v>65.599999999999994</c:v>
                </c:pt>
                <c:pt idx="11">
                  <c:v>72.599999999999994</c:v>
                </c:pt>
                <c:pt idx="12">
                  <c:v>39.1</c:v>
                </c:pt>
                <c:pt idx="13">
                  <c:v>66.400000000000006</c:v>
                </c:pt>
                <c:pt idx="14">
                  <c:v>46</c:v>
                </c:pt>
              </c:numCache>
            </c:numRef>
          </c:val>
          <c:smooth val="0"/>
        </c:ser>
        <c:ser>
          <c:idx val="2"/>
          <c:order val="2"/>
          <c:tx>
            <c:strRef>
              <c:f>'Part2 '!$K$3</c:f>
              <c:strCache>
                <c:ptCount val="1"/>
                <c:pt idx="0">
                  <c:v>Trade</c:v>
                </c:pt>
              </c:strCache>
            </c:strRef>
          </c:tx>
          <c:spPr>
            <a:ln w="38100" cap="flat" cmpd="dbl" algn="ctr">
              <a:solidFill>
                <a:schemeClr val="accent3"/>
              </a:solidFill>
              <a:miter lim="800000"/>
            </a:ln>
            <a:effectLst/>
          </c:spPr>
          <c:marker>
            <c:symbol val="none"/>
          </c:marker>
          <c:val>
            <c:numRef>
              <c:f>'Part2 '!$K$4:$K$18</c:f>
              <c:numCache>
                <c:formatCode>General</c:formatCode>
                <c:ptCount val="15"/>
                <c:pt idx="0">
                  <c:v>79.8</c:v>
                </c:pt>
                <c:pt idx="1">
                  <c:v>63.2</c:v>
                </c:pt>
                <c:pt idx="2">
                  <c:v>77.400000000000006</c:v>
                </c:pt>
                <c:pt idx="3">
                  <c:v>67.2</c:v>
                </c:pt>
                <c:pt idx="4">
                  <c:v>75.8</c:v>
                </c:pt>
                <c:pt idx="5">
                  <c:v>76.2</c:v>
                </c:pt>
                <c:pt idx="6">
                  <c:v>64.599999999999994</c:v>
                </c:pt>
                <c:pt idx="7">
                  <c:v>81.2</c:v>
                </c:pt>
                <c:pt idx="8">
                  <c:v>66.400000000000006</c:v>
                </c:pt>
                <c:pt idx="9">
                  <c:v>63.4</c:v>
                </c:pt>
                <c:pt idx="10">
                  <c:v>79.599999999999994</c:v>
                </c:pt>
                <c:pt idx="11">
                  <c:v>67.599999999999994</c:v>
                </c:pt>
                <c:pt idx="12">
                  <c:v>70</c:v>
                </c:pt>
                <c:pt idx="13">
                  <c:v>72.599999999999994</c:v>
                </c:pt>
                <c:pt idx="14">
                  <c:v>75.400000000000006</c:v>
                </c:pt>
              </c:numCache>
            </c:numRef>
          </c:val>
          <c:smooth val="0"/>
        </c:ser>
        <c:ser>
          <c:idx val="3"/>
          <c:order val="3"/>
          <c:tx>
            <c:strRef>
              <c:f>'Part2 '!$L$3</c:f>
              <c:strCache>
                <c:ptCount val="1"/>
                <c:pt idx="0">
                  <c:v>Financial Freedom</c:v>
                </c:pt>
              </c:strCache>
            </c:strRef>
          </c:tx>
          <c:spPr>
            <a:ln w="38100" cap="flat" cmpd="dbl" algn="ctr">
              <a:solidFill>
                <a:schemeClr val="accent4"/>
              </a:solidFill>
              <a:miter lim="800000"/>
            </a:ln>
            <a:effectLst/>
          </c:spPr>
          <c:marker>
            <c:symbol val="none"/>
          </c:marker>
          <c:val>
            <c:numRef>
              <c:f>'Part2 '!$L$4:$L$18</c:f>
              <c:numCache>
                <c:formatCode>General</c:formatCode>
                <c:ptCount val="15"/>
                <c:pt idx="0">
                  <c:v>80</c:v>
                </c:pt>
                <c:pt idx="1">
                  <c:v>30</c:v>
                </c:pt>
                <c:pt idx="2">
                  <c:v>30</c:v>
                </c:pt>
                <c:pt idx="3">
                  <c:v>40</c:v>
                </c:pt>
                <c:pt idx="4">
                  <c:v>50</c:v>
                </c:pt>
                <c:pt idx="5">
                  <c:v>30</c:v>
                </c:pt>
                <c:pt idx="6">
                  <c:v>30</c:v>
                </c:pt>
                <c:pt idx="7">
                  <c:v>30</c:v>
                </c:pt>
                <c:pt idx="8">
                  <c:v>30</c:v>
                </c:pt>
                <c:pt idx="9">
                  <c:v>40</c:v>
                </c:pt>
                <c:pt idx="10">
                  <c:v>50</c:v>
                </c:pt>
                <c:pt idx="11">
                  <c:v>20</c:v>
                </c:pt>
                <c:pt idx="12">
                  <c:v>10</c:v>
                </c:pt>
                <c:pt idx="13">
                  <c:v>50</c:v>
                </c:pt>
                <c:pt idx="14">
                  <c:v>40</c:v>
                </c:pt>
              </c:numCache>
            </c:numRef>
          </c:val>
          <c:smooth val="0"/>
        </c:ser>
        <c:ser>
          <c:idx val="4"/>
          <c:order val="4"/>
          <c:tx>
            <c:strRef>
              <c:f>'Part2 '!$M$3</c:f>
              <c:strCache>
                <c:ptCount val="1"/>
                <c:pt idx="0">
                  <c:v>Property Rights</c:v>
                </c:pt>
              </c:strCache>
            </c:strRef>
          </c:tx>
          <c:spPr>
            <a:ln w="38100" cap="flat" cmpd="dbl" algn="ctr">
              <a:solidFill>
                <a:schemeClr val="accent5"/>
              </a:solidFill>
              <a:miter lim="800000"/>
            </a:ln>
            <a:effectLst/>
          </c:spPr>
          <c:marker>
            <c:symbol val="none"/>
          </c:marker>
          <c:val>
            <c:numRef>
              <c:f>'Part2 '!$M$4:$M$18</c:f>
              <c:numCache>
                <c:formatCode>General</c:formatCode>
                <c:ptCount val="15"/>
                <c:pt idx="0">
                  <c:v>81.8</c:v>
                </c:pt>
                <c:pt idx="1">
                  <c:v>41.6</c:v>
                </c:pt>
                <c:pt idx="2">
                  <c:v>72</c:v>
                </c:pt>
                <c:pt idx="3">
                  <c:v>50.5</c:v>
                </c:pt>
                <c:pt idx="4">
                  <c:v>58.4</c:v>
                </c:pt>
                <c:pt idx="5">
                  <c:v>66.3</c:v>
                </c:pt>
                <c:pt idx="6">
                  <c:v>60.5</c:v>
                </c:pt>
                <c:pt idx="7">
                  <c:v>47.5</c:v>
                </c:pt>
                <c:pt idx="8">
                  <c:v>56.4</c:v>
                </c:pt>
                <c:pt idx="9">
                  <c:v>68.3</c:v>
                </c:pt>
                <c:pt idx="10">
                  <c:v>52.6</c:v>
                </c:pt>
                <c:pt idx="11">
                  <c:v>59.1</c:v>
                </c:pt>
                <c:pt idx="12">
                  <c:v>33.700000000000003</c:v>
                </c:pt>
                <c:pt idx="13">
                  <c:v>45.2</c:v>
                </c:pt>
                <c:pt idx="14">
                  <c:v>45.6</c:v>
                </c:pt>
              </c:numCache>
            </c:numRef>
          </c:val>
          <c:smooth val="0"/>
        </c:ser>
        <c:dLbls>
          <c:showLegendKey val="0"/>
          <c:showVal val="0"/>
          <c:showCatName val="0"/>
          <c:showSerName val="0"/>
          <c:showPercent val="0"/>
          <c:showBubbleSize val="0"/>
        </c:dLbls>
        <c:smooth val="0"/>
        <c:axId val="1360040512"/>
        <c:axId val="1360039968"/>
      </c:lineChart>
      <c:catAx>
        <c:axId val="1360040512"/>
        <c:scaling>
          <c:orientation val="minMax"/>
        </c:scaling>
        <c:delete val="0"/>
        <c:axPos val="b"/>
        <c:majorGridlines>
          <c:spPr>
            <a:ln w="9525" cap="flat" cmpd="sng" algn="ctr">
              <a:solidFill>
                <a:schemeClr val="tx1">
                  <a:lumMod val="15000"/>
                  <a:lumOff val="85000"/>
                  <a:alpha val="32000"/>
                </a:schemeClr>
              </a:solidFill>
              <a:round/>
            </a:ln>
            <a:effectLst/>
          </c:spPr>
        </c:majorGridlines>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0039968"/>
        <c:crosses val="autoZero"/>
        <c:auto val="1"/>
        <c:lblAlgn val="ctr"/>
        <c:lblOffset val="100"/>
        <c:noMultiLvlLbl val="0"/>
      </c:catAx>
      <c:valAx>
        <c:axId val="1360039968"/>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00405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6</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63</cp:revision>
  <dcterms:created xsi:type="dcterms:W3CDTF">2020-12-08T16:06:00Z</dcterms:created>
  <dcterms:modified xsi:type="dcterms:W3CDTF">2020-12-08T17:47:00Z</dcterms:modified>
</cp:coreProperties>
</file>